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C1" w:rsidRDefault="003745AA">
      <w:pPr>
        <w:jc w:val="center"/>
        <w:rPr>
          <w:sz w:val="24"/>
          <w:szCs w:val="24"/>
        </w:rPr>
      </w:pPr>
      <w:r>
        <w:rPr>
          <w:sz w:val="24"/>
          <w:szCs w:val="24"/>
        </w:rPr>
        <w:t>Menedék – Migránsokat Segítő Egyesület</w:t>
      </w:r>
    </w:p>
    <w:p w:rsidR="00EA21C1" w:rsidRDefault="003745AA">
      <w:pPr>
        <w:jc w:val="center"/>
        <w:rPr>
          <w:sz w:val="24"/>
          <w:szCs w:val="24"/>
        </w:rPr>
      </w:pPr>
      <w:r>
        <w:rPr>
          <w:sz w:val="24"/>
          <w:szCs w:val="24"/>
        </w:rPr>
        <w:t>Honlapra valamint hírlevélre vonatkozó</w:t>
      </w:r>
    </w:p>
    <w:p w:rsidR="00EA21C1" w:rsidRDefault="003745AA">
      <w:pPr>
        <w:jc w:val="center"/>
        <w:rPr>
          <w:smallCaps/>
          <w:sz w:val="24"/>
          <w:szCs w:val="24"/>
        </w:rPr>
      </w:pPr>
      <w:r>
        <w:rPr>
          <w:smallCaps/>
          <w:sz w:val="24"/>
          <w:szCs w:val="24"/>
        </w:rPr>
        <w:t>Adatkezelési Tájékoztatója</w:t>
      </w:r>
    </w:p>
    <w:p w:rsidR="00EA21C1" w:rsidRDefault="003745AA">
      <w:pPr>
        <w:numPr>
          <w:ilvl w:val="0"/>
          <w:numId w:val="2"/>
        </w:numPr>
        <w:pBdr>
          <w:top w:val="nil"/>
          <w:left w:val="nil"/>
          <w:bottom w:val="nil"/>
          <w:right w:val="nil"/>
          <w:between w:val="nil"/>
        </w:pBdr>
        <w:contextualSpacing/>
        <w:rPr>
          <w:b/>
          <w:color w:val="000000"/>
        </w:rPr>
      </w:pPr>
      <w:r>
        <w:rPr>
          <w:b/>
          <w:color w:val="000000"/>
        </w:rPr>
        <w:t>Általános rendelkezések és elérhetőségek</w:t>
      </w:r>
    </w:p>
    <w:p w:rsidR="00EA21C1" w:rsidRDefault="003745AA">
      <w:pPr>
        <w:jc w:val="both"/>
      </w:pPr>
      <w:r>
        <w:t>A jelen adatkezelési tájékoztató („Tájékoztató”) azon személyes adatokra vonatkozik, amelyeket Önről mint a  Menedék – Migránsokat Segítő Egyesület  („Egyesület”) honlapját meglátogató illetve hírlevelére feliratkozó személyről az Egyesület gyűjt és kezel.</w:t>
      </w:r>
    </w:p>
    <w:p w:rsidR="00EA21C1" w:rsidRDefault="003745AA">
      <w:pPr>
        <w:jc w:val="both"/>
      </w:pPr>
      <w:r>
        <w:t>Az Egyesület</w:t>
      </w:r>
    </w:p>
    <w:p w:rsidR="00EA21C1" w:rsidRDefault="003745AA">
      <w:pPr>
        <w:numPr>
          <w:ilvl w:val="0"/>
          <w:numId w:val="3"/>
        </w:numPr>
        <w:pBdr>
          <w:top w:val="nil"/>
          <w:left w:val="nil"/>
          <w:bottom w:val="nil"/>
          <w:right w:val="nil"/>
          <w:between w:val="nil"/>
        </w:pBdr>
        <w:spacing w:after="0"/>
        <w:contextualSpacing/>
        <w:jc w:val="both"/>
      </w:pPr>
      <w:r>
        <w:rPr>
          <w:color w:val="000000"/>
        </w:rPr>
        <w:t>címe: 1081 Budapest, Népszínház Utca 16. III/3.</w:t>
      </w:r>
    </w:p>
    <w:p w:rsidR="00EA21C1" w:rsidRDefault="003745AA">
      <w:pPr>
        <w:numPr>
          <w:ilvl w:val="0"/>
          <w:numId w:val="3"/>
        </w:numPr>
        <w:pBdr>
          <w:top w:val="nil"/>
          <w:left w:val="nil"/>
          <w:bottom w:val="nil"/>
          <w:right w:val="nil"/>
          <w:between w:val="nil"/>
        </w:pBdr>
        <w:spacing w:after="0"/>
        <w:contextualSpacing/>
        <w:jc w:val="both"/>
      </w:pPr>
      <w:r>
        <w:rPr>
          <w:color w:val="000000"/>
        </w:rPr>
        <w:t>nyilvántartási száma: 01-02-0006321</w:t>
      </w:r>
    </w:p>
    <w:p w:rsidR="00EA21C1" w:rsidRDefault="003745AA">
      <w:pPr>
        <w:numPr>
          <w:ilvl w:val="0"/>
          <w:numId w:val="3"/>
        </w:numPr>
        <w:pBdr>
          <w:top w:val="nil"/>
          <w:left w:val="nil"/>
          <w:bottom w:val="nil"/>
          <w:right w:val="nil"/>
          <w:between w:val="nil"/>
        </w:pBdr>
        <w:contextualSpacing/>
        <w:jc w:val="both"/>
      </w:pPr>
      <w:r>
        <w:rPr>
          <w:color w:val="000000"/>
        </w:rPr>
        <w:t>adószáma: 18072165-1-42</w:t>
      </w:r>
    </w:p>
    <w:p w:rsidR="00EA21C1" w:rsidRDefault="003745AA">
      <w:pPr>
        <w:jc w:val="both"/>
      </w:pPr>
      <w:r>
        <w:t xml:space="preserve">Amennyiben bármilyen kérédse lenne jelen Tájékoztatóval kapcsolatban, érdeklődjön a </w:t>
      </w:r>
      <w:hyperlink r:id="rId7">
        <w:r>
          <w:rPr>
            <w:color w:val="0563C1"/>
            <w:u w:val="single"/>
          </w:rPr>
          <w:t>menedek@menedek.hu</w:t>
        </w:r>
      </w:hyperlink>
      <w:r>
        <w:t xml:space="preserve"> e-mail címen, illetve telefonon a +36 1 322 1502 számon.</w:t>
      </w:r>
    </w:p>
    <w:p w:rsidR="00EA21C1" w:rsidRDefault="003745AA">
      <w:pPr>
        <w:numPr>
          <w:ilvl w:val="0"/>
          <w:numId w:val="2"/>
        </w:numPr>
        <w:pBdr>
          <w:top w:val="nil"/>
          <w:left w:val="nil"/>
          <w:bottom w:val="nil"/>
          <w:right w:val="nil"/>
          <w:between w:val="nil"/>
        </w:pBdr>
        <w:contextualSpacing/>
        <w:rPr>
          <w:b/>
          <w:color w:val="000000"/>
        </w:rPr>
      </w:pPr>
      <w:r>
        <w:rPr>
          <w:b/>
          <w:color w:val="000000"/>
        </w:rPr>
        <w:t>Tájékoztató frissítése és elérhetősége</w:t>
      </w:r>
    </w:p>
    <w:p w:rsidR="00EA21C1" w:rsidRDefault="003745AA">
      <w:pPr>
        <w:jc w:val="both"/>
      </w:pPr>
      <w:r>
        <w:t xml:space="preserve">Az Egyesület fenntartja a jogot, hogy jelen Tájékoztatót egyoldalúan módosítsa. A Tájékoztató elérhető a menedék honlapján a </w:t>
      </w:r>
      <w:hyperlink r:id="rId8">
        <w:r>
          <w:rPr>
            <w:color w:val="0563C1"/>
            <w:u w:val="single"/>
          </w:rPr>
          <w:t>www.menedek.hu/adatkezeles</w:t>
        </w:r>
      </w:hyperlink>
      <w:r>
        <w:t xml:space="preserve"> URL címen.</w:t>
      </w:r>
    </w:p>
    <w:p w:rsidR="00EA21C1" w:rsidRDefault="003745AA">
      <w:pPr>
        <w:numPr>
          <w:ilvl w:val="0"/>
          <w:numId w:val="2"/>
        </w:numPr>
        <w:pBdr>
          <w:top w:val="nil"/>
          <w:left w:val="nil"/>
          <w:bottom w:val="nil"/>
          <w:right w:val="nil"/>
          <w:between w:val="nil"/>
        </w:pBdr>
        <w:contextualSpacing/>
        <w:rPr>
          <w:b/>
          <w:color w:val="000000"/>
        </w:rPr>
      </w:pPr>
      <w:r>
        <w:rPr>
          <w:b/>
          <w:color w:val="000000"/>
        </w:rPr>
        <w:t>Kezelt adatok köre és adatkezelési célok</w:t>
      </w:r>
    </w:p>
    <w:tbl>
      <w:tblPr>
        <w:tblStyle w:val="a"/>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4"/>
        <w:gridCol w:w="1843"/>
        <w:gridCol w:w="2409"/>
        <w:gridCol w:w="2127"/>
        <w:gridCol w:w="1984"/>
      </w:tblGrid>
      <w:tr w:rsidR="00EA21C1">
        <w:tc>
          <w:tcPr>
            <w:tcW w:w="1844" w:type="dxa"/>
          </w:tcPr>
          <w:p w:rsidR="00EA21C1" w:rsidRDefault="003745AA">
            <w:pPr>
              <w:rPr>
                <w:b/>
                <w:sz w:val="20"/>
                <w:szCs w:val="20"/>
                <w:u w:val="single"/>
              </w:rPr>
            </w:pPr>
            <w:r>
              <w:rPr>
                <w:b/>
                <w:sz w:val="20"/>
                <w:szCs w:val="20"/>
                <w:u w:val="single"/>
              </w:rPr>
              <w:t>Adatkezelés megnevezése és célja</w:t>
            </w:r>
          </w:p>
        </w:tc>
        <w:tc>
          <w:tcPr>
            <w:tcW w:w="1843" w:type="dxa"/>
          </w:tcPr>
          <w:p w:rsidR="00EA21C1" w:rsidRDefault="003745AA">
            <w:pPr>
              <w:rPr>
                <w:b/>
                <w:sz w:val="20"/>
                <w:szCs w:val="20"/>
                <w:u w:val="single"/>
              </w:rPr>
            </w:pPr>
            <w:r>
              <w:rPr>
                <w:b/>
                <w:sz w:val="20"/>
                <w:szCs w:val="20"/>
                <w:u w:val="single"/>
              </w:rPr>
              <w:t>Adatkezelés jogalapja</w:t>
            </w:r>
          </w:p>
        </w:tc>
        <w:tc>
          <w:tcPr>
            <w:tcW w:w="2409" w:type="dxa"/>
          </w:tcPr>
          <w:p w:rsidR="00EA21C1" w:rsidRDefault="003745AA">
            <w:pPr>
              <w:rPr>
                <w:b/>
                <w:sz w:val="20"/>
                <w:szCs w:val="20"/>
                <w:u w:val="single"/>
              </w:rPr>
            </w:pPr>
            <w:r>
              <w:rPr>
                <w:b/>
                <w:sz w:val="20"/>
                <w:szCs w:val="20"/>
                <w:u w:val="single"/>
              </w:rPr>
              <w:t>A kezelt adatok köre</w:t>
            </w:r>
          </w:p>
        </w:tc>
        <w:tc>
          <w:tcPr>
            <w:tcW w:w="2127" w:type="dxa"/>
          </w:tcPr>
          <w:p w:rsidR="00EA21C1" w:rsidRDefault="003745AA">
            <w:pPr>
              <w:rPr>
                <w:b/>
                <w:sz w:val="20"/>
                <w:szCs w:val="20"/>
                <w:u w:val="single"/>
              </w:rPr>
            </w:pPr>
            <w:r>
              <w:rPr>
                <w:b/>
                <w:sz w:val="20"/>
                <w:szCs w:val="20"/>
                <w:u w:val="single"/>
              </w:rPr>
              <w:t>Az adatkezelés időtartama</w:t>
            </w:r>
          </w:p>
        </w:tc>
        <w:tc>
          <w:tcPr>
            <w:tcW w:w="1984" w:type="dxa"/>
          </w:tcPr>
          <w:p w:rsidR="00EA21C1" w:rsidRDefault="003745AA">
            <w:pPr>
              <w:rPr>
                <w:b/>
                <w:sz w:val="20"/>
                <w:szCs w:val="20"/>
                <w:u w:val="single"/>
              </w:rPr>
            </w:pPr>
            <w:r>
              <w:rPr>
                <w:b/>
                <w:sz w:val="20"/>
                <w:szCs w:val="20"/>
                <w:u w:val="single"/>
              </w:rPr>
              <w:t>Kik férhetnek hozzá a személyes adatokhoz az Egyesület szervezetén belül?</w:t>
            </w:r>
          </w:p>
        </w:tc>
      </w:tr>
      <w:tr w:rsidR="00EA21C1">
        <w:tc>
          <w:tcPr>
            <w:tcW w:w="1844" w:type="dxa"/>
          </w:tcPr>
          <w:p w:rsidR="00EA21C1" w:rsidRDefault="003745AA">
            <w:pPr>
              <w:rPr>
                <w:sz w:val="20"/>
                <w:szCs w:val="20"/>
              </w:rPr>
            </w:pPr>
            <w:r>
              <w:rPr>
                <w:b/>
                <w:sz w:val="20"/>
                <w:szCs w:val="20"/>
              </w:rPr>
              <w:t>Kapcsolatfelvétel</w:t>
            </w:r>
            <w:r>
              <w:rPr>
                <w:sz w:val="20"/>
                <w:szCs w:val="20"/>
              </w:rPr>
              <w:t xml:space="preserve"> – a honlapon a látogató által a „Kapcsolatfelvétel” fül igénybevételével az Egyesülettel való kommunikáció </w:t>
            </w:r>
          </w:p>
        </w:tc>
        <w:tc>
          <w:tcPr>
            <w:tcW w:w="1843" w:type="dxa"/>
          </w:tcPr>
          <w:p w:rsidR="00EA21C1" w:rsidRDefault="003745AA">
            <w:pPr>
              <w:rPr>
                <w:sz w:val="20"/>
                <w:szCs w:val="20"/>
              </w:rPr>
            </w:pPr>
            <w:r>
              <w:rPr>
                <w:sz w:val="20"/>
                <w:szCs w:val="20"/>
              </w:rPr>
              <w:t>- Az érintett hozzájárulása [GDPR</w:t>
            </w:r>
            <w:r>
              <w:rPr>
                <w:vertAlign w:val="superscript"/>
              </w:rPr>
              <w:footnoteReference w:id="1"/>
            </w:r>
            <w:r>
              <w:rPr>
                <w:sz w:val="20"/>
                <w:szCs w:val="20"/>
              </w:rPr>
              <w:t xml:space="preserve"> 6. cikk (1) bekezdés a) pont]</w:t>
            </w:r>
          </w:p>
          <w:p w:rsidR="00EA21C1" w:rsidRDefault="00EA21C1">
            <w:pPr>
              <w:rPr>
                <w:sz w:val="20"/>
                <w:szCs w:val="20"/>
              </w:rPr>
            </w:pPr>
          </w:p>
        </w:tc>
        <w:tc>
          <w:tcPr>
            <w:tcW w:w="2409" w:type="dxa"/>
          </w:tcPr>
          <w:p w:rsidR="00EA21C1" w:rsidRDefault="003745AA">
            <w:pPr>
              <w:rPr>
                <w:sz w:val="20"/>
                <w:szCs w:val="20"/>
              </w:rPr>
            </w:pPr>
            <w:r>
              <w:rPr>
                <w:sz w:val="20"/>
                <w:szCs w:val="20"/>
              </w:rPr>
              <w:t>- Saját név</w:t>
            </w:r>
          </w:p>
          <w:p w:rsidR="00EA21C1" w:rsidRDefault="003745AA">
            <w:pPr>
              <w:rPr>
                <w:sz w:val="20"/>
                <w:szCs w:val="20"/>
              </w:rPr>
            </w:pPr>
            <w:r>
              <w:rPr>
                <w:sz w:val="20"/>
                <w:szCs w:val="20"/>
              </w:rPr>
              <w:t>- E-mail cím</w:t>
            </w:r>
          </w:p>
          <w:p w:rsidR="00EA21C1" w:rsidRDefault="003745AA">
            <w:pPr>
              <w:rPr>
                <w:sz w:val="20"/>
                <w:szCs w:val="20"/>
              </w:rPr>
            </w:pPr>
            <w:r>
              <w:rPr>
                <w:sz w:val="20"/>
                <w:szCs w:val="20"/>
              </w:rPr>
              <w:t>- Tárgy</w:t>
            </w:r>
          </w:p>
          <w:p w:rsidR="00EA21C1" w:rsidRDefault="003745AA">
            <w:pPr>
              <w:rPr>
                <w:sz w:val="20"/>
                <w:szCs w:val="20"/>
              </w:rPr>
            </w:pPr>
            <w:r>
              <w:rPr>
                <w:sz w:val="20"/>
                <w:szCs w:val="20"/>
              </w:rPr>
              <w:t>- Üzenet</w:t>
            </w:r>
          </w:p>
        </w:tc>
        <w:tc>
          <w:tcPr>
            <w:tcW w:w="2127" w:type="dxa"/>
          </w:tcPr>
          <w:p w:rsidR="00EA21C1" w:rsidRDefault="003745AA">
            <w:pPr>
              <w:rPr>
                <w:sz w:val="20"/>
                <w:szCs w:val="20"/>
              </w:rPr>
            </w:pPr>
            <w:r>
              <w:rPr>
                <w:sz w:val="20"/>
                <w:szCs w:val="20"/>
              </w:rPr>
              <w:t>- Az érintett személy hozzájárulásának visszavonásáig.</w:t>
            </w:r>
          </w:p>
        </w:tc>
        <w:tc>
          <w:tcPr>
            <w:tcW w:w="1984" w:type="dxa"/>
          </w:tcPr>
          <w:p w:rsidR="00EA21C1" w:rsidRDefault="003745AA">
            <w:pPr>
              <w:rPr>
                <w:sz w:val="20"/>
                <w:szCs w:val="20"/>
              </w:rPr>
            </w:pPr>
            <w:r>
              <w:rPr>
                <w:sz w:val="20"/>
                <w:szCs w:val="20"/>
              </w:rPr>
              <w:t>- Az Egyesület irodavezetője, valamint azon munkatársa, akinek az üzenet taralmából következően az üzenet megválaszolására illetve az üzenettel kapcsolatos ügyintézésre hatásköre van.</w:t>
            </w:r>
          </w:p>
        </w:tc>
      </w:tr>
      <w:tr w:rsidR="00EA21C1">
        <w:tc>
          <w:tcPr>
            <w:tcW w:w="1844" w:type="dxa"/>
          </w:tcPr>
          <w:p w:rsidR="00EA21C1" w:rsidRDefault="003745AA">
            <w:pPr>
              <w:rPr>
                <w:sz w:val="20"/>
                <w:szCs w:val="20"/>
              </w:rPr>
            </w:pPr>
            <w:r>
              <w:rPr>
                <w:b/>
                <w:sz w:val="20"/>
                <w:szCs w:val="20"/>
              </w:rPr>
              <w:t>Hírlevél feliratkozás</w:t>
            </w:r>
            <w:r>
              <w:rPr>
                <w:sz w:val="20"/>
                <w:szCs w:val="20"/>
              </w:rPr>
              <w:t xml:space="preserve"> – a honlapon a „Hírlevél feliratkozás” felület igénybevételével az Egyesület elektronikus hírlevélre való </w:t>
            </w:r>
            <w:r>
              <w:rPr>
                <w:sz w:val="20"/>
                <w:szCs w:val="20"/>
              </w:rPr>
              <w:lastRenderedPageBreak/>
              <w:t>feliratkozás.</w:t>
            </w:r>
          </w:p>
        </w:tc>
        <w:tc>
          <w:tcPr>
            <w:tcW w:w="1843" w:type="dxa"/>
          </w:tcPr>
          <w:p w:rsidR="00EA21C1" w:rsidRDefault="003745AA">
            <w:pPr>
              <w:rPr>
                <w:sz w:val="20"/>
                <w:szCs w:val="20"/>
              </w:rPr>
            </w:pPr>
            <w:r>
              <w:rPr>
                <w:sz w:val="20"/>
                <w:szCs w:val="20"/>
              </w:rPr>
              <w:lastRenderedPageBreak/>
              <w:t>- Az érintett hozzájárulása [GDPR</w:t>
            </w:r>
            <w:r>
              <w:rPr>
                <w:vertAlign w:val="superscript"/>
              </w:rPr>
              <w:footnoteReference w:id="2"/>
            </w:r>
            <w:r>
              <w:rPr>
                <w:sz w:val="20"/>
                <w:szCs w:val="20"/>
              </w:rPr>
              <w:t xml:space="preserve"> 6. cikk (1) bekezdés a) pont]</w:t>
            </w:r>
          </w:p>
          <w:p w:rsidR="00EA21C1" w:rsidRDefault="00EA21C1">
            <w:pPr>
              <w:rPr>
                <w:sz w:val="20"/>
                <w:szCs w:val="20"/>
              </w:rPr>
            </w:pPr>
          </w:p>
        </w:tc>
        <w:tc>
          <w:tcPr>
            <w:tcW w:w="2409" w:type="dxa"/>
          </w:tcPr>
          <w:p w:rsidR="00EA21C1" w:rsidRDefault="003745AA">
            <w:pPr>
              <w:rPr>
                <w:sz w:val="20"/>
                <w:szCs w:val="20"/>
              </w:rPr>
            </w:pPr>
            <w:r>
              <w:rPr>
                <w:sz w:val="20"/>
                <w:szCs w:val="20"/>
              </w:rPr>
              <w:t>- Teljes név</w:t>
            </w:r>
          </w:p>
          <w:p w:rsidR="00EA21C1" w:rsidRDefault="003745AA">
            <w:pPr>
              <w:rPr>
                <w:sz w:val="20"/>
                <w:szCs w:val="20"/>
              </w:rPr>
            </w:pPr>
            <w:r>
              <w:rPr>
                <w:sz w:val="20"/>
                <w:szCs w:val="20"/>
              </w:rPr>
              <w:t>- E-mail cím</w:t>
            </w:r>
          </w:p>
        </w:tc>
        <w:tc>
          <w:tcPr>
            <w:tcW w:w="2127" w:type="dxa"/>
          </w:tcPr>
          <w:p w:rsidR="00EA21C1" w:rsidRDefault="003745AA">
            <w:pPr>
              <w:rPr>
                <w:sz w:val="20"/>
                <w:szCs w:val="20"/>
              </w:rPr>
            </w:pPr>
            <w:r>
              <w:rPr>
                <w:sz w:val="20"/>
                <w:szCs w:val="20"/>
              </w:rPr>
              <w:t>- Az érintett személy hozzájárulásának visszavonásáig. (lásd lent: „Hírlevélről leiratkozás” pont).</w:t>
            </w:r>
          </w:p>
        </w:tc>
        <w:tc>
          <w:tcPr>
            <w:tcW w:w="1984" w:type="dxa"/>
          </w:tcPr>
          <w:p w:rsidR="00EA21C1" w:rsidRDefault="003745AA">
            <w:pPr>
              <w:rPr>
                <w:sz w:val="20"/>
                <w:szCs w:val="20"/>
              </w:rPr>
            </w:pPr>
            <w:r>
              <w:rPr>
                <w:sz w:val="20"/>
                <w:szCs w:val="20"/>
              </w:rPr>
              <w:t>- Az Egyesület hírlevelet szerkesztő munkatársa</w:t>
            </w:r>
          </w:p>
        </w:tc>
      </w:tr>
    </w:tbl>
    <w:p w:rsidR="00EA21C1" w:rsidRDefault="00EA21C1">
      <w:pPr>
        <w:pBdr>
          <w:top w:val="nil"/>
          <w:left w:val="nil"/>
          <w:bottom w:val="nil"/>
          <w:right w:val="nil"/>
          <w:between w:val="nil"/>
        </w:pBdr>
        <w:spacing w:after="0"/>
        <w:ind w:left="720" w:hanging="720"/>
        <w:rPr>
          <w:color w:val="000000"/>
        </w:rPr>
      </w:pPr>
    </w:p>
    <w:p w:rsidR="00EA21C1" w:rsidRDefault="003745AA">
      <w:pPr>
        <w:numPr>
          <w:ilvl w:val="0"/>
          <w:numId w:val="2"/>
        </w:numPr>
        <w:pBdr>
          <w:top w:val="nil"/>
          <w:left w:val="nil"/>
          <w:bottom w:val="nil"/>
          <w:right w:val="nil"/>
          <w:between w:val="nil"/>
        </w:pBdr>
        <w:contextualSpacing/>
        <w:rPr>
          <w:b/>
          <w:color w:val="000000"/>
        </w:rPr>
      </w:pPr>
      <w:r>
        <w:rPr>
          <w:b/>
          <w:color w:val="000000"/>
        </w:rPr>
        <w:t>Az adatfeldolgozásra jogosult személyek</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0"/>
        <w:gridCol w:w="3021"/>
        <w:gridCol w:w="3021"/>
      </w:tblGrid>
      <w:tr w:rsidR="00EA21C1">
        <w:tc>
          <w:tcPr>
            <w:tcW w:w="3020" w:type="dxa"/>
          </w:tcPr>
          <w:p w:rsidR="00EA21C1" w:rsidRDefault="003745AA">
            <w:pPr>
              <w:rPr>
                <w:b/>
                <w:sz w:val="20"/>
                <w:szCs w:val="20"/>
              </w:rPr>
            </w:pPr>
            <w:r>
              <w:rPr>
                <w:b/>
                <w:sz w:val="20"/>
                <w:szCs w:val="20"/>
              </w:rPr>
              <w:t>Az adatfeldolgozó</w:t>
            </w:r>
          </w:p>
        </w:tc>
        <w:tc>
          <w:tcPr>
            <w:tcW w:w="3021" w:type="dxa"/>
          </w:tcPr>
          <w:p w:rsidR="00EA21C1" w:rsidRDefault="003745AA">
            <w:pPr>
              <w:rPr>
                <w:b/>
                <w:sz w:val="20"/>
                <w:szCs w:val="20"/>
              </w:rPr>
            </w:pPr>
            <w:r>
              <w:rPr>
                <w:b/>
                <w:sz w:val="20"/>
                <w:szCs w:val="20"/>
              </w:rPr>
              <w:t>Milyen személyes adatokhoz férhet hozzá?</w:t>
            </w:r>
          </w:p>
          <w:p w:rsidR="00EA21C1" w:rsidRDefault="00EA21C1">
            <w:pPr>
              <w:rPr>
                <w:b/>
                <w:sz w:val="20"/>
                <w:szCs w:val="20"/>
              </w:rPr>
            </w:pPr>
          </w:p>
          <w:p w:rsidR="00EA21C1" w:rsidRDefault="003745AA">
            <w:pPr>
              <w:rPr>
                <w:b/>
                <w:sz w:val="20"/>
                <w:szCs w:val="20"/>
              </w:rPr>
            </w:pPr>
            <w:r>
              <w:rPr>
                <w:b/>
                <w:sz w:val="20"/>
                <w:szCs w:val="20"/>
              </w:rPr>
              <w:t>Milyen módon használhatja fel az adott személyes adatot (milyen tevékenységet végez az Egyesület részére)?</w:t>
            </w:r>
          </w:p>
        </w:tc>
        <w:tc>
          <w:tcPr>
            <w:tcW w:w="3021" w:type="dxa"/>
          </w:tcPr>
          <w:p w:rsidR="00EA21C1" w:rsidRDefault="003745AA">
            <w:pPr>
              <w:rPr>
                <w:b/>
                <w:sz w:val="20"/>
                <w:szCs w:val="20"/>
              </w:rPr>
            </w:pPr>
            <w:r>
              <w:rPr>
                <w:b/>
                <w:sz w:val="20"/>
                <w:szCs w:val="20"/>
              </w:rPr>
              <w:t>Mennyi ideig tárolhatja az adatokat?</w:t>
            </w:r>
          </w:p>
        </w:tc>
      </w:tr>
      <w:tr w:rsidR="00EA21C1">
        <w:tc>
          <w:tcPr>
            <w:tcW w:w="3020" w:type="dxa"/>
          </w:tcPr>
          <w:p w:rsidR="00EA21C1" w:rsidRPr="003745AA" w:rsidRDefault="003745AA">
            <w:pPr>
              <w:rPr>
                <w:sz w:val="20"/>
                <w:szCs w:val="20"/>
              </w:rPr>
            </w:pPr>
            <w:r w:rsidRPr="003745AA">
              <w:rPr>
                <w:sz w:val="20"/>
                <w:szCs w:val="20"/>
              </w:rPr>
              <w:t>Integral Vision Kft.</w:t>
            </w:r>
          </w:p>
        </w:tc>
        <w:tc>
          <w:tcPr>
            <w:tcW w:w="3021" w:type="dxa"/>
          </w:tcPr>
          <w:p w:rsidR="00EA21C1" w:rsidRPr="003745AA" w:rsidRDefault="003745AA">
            <w:pPr>
              <w:rPr>
                <w:sz w:val="20"/>
                <w:szCs w:val="20"/>
              </w:rPr>
            </w:pPr>
            <w:r w:rsidRPr="003745AA">
              <w:rPr>
                <w:sz w:val="23"/>
                <w:szCs w:val="23"/>
              </w:rPr>
              <w:t>A weboldal karbantartását az Integral Vision munkatársai végzik. Hibakeresés, fejlesztés és támogatási tevékenységük során az adatokhoz (név, email cím, és az önként megadható adatok: pozíció, cégnév, telefonszám) ők is hozzáférnek.</w:t>
            </w:r>
          </w:p>
        </w:tc>
        <w:tc>
          <w:tcPr>
            <w:tcW w:w="3021" w:type="dxa"/>
          </w:tcPr>
          <w:p w:rsidR="00EA21C1" w:rsidRDefault="003745AA">
            <w:pPr>
              <w:rPr>
                <w:b/>
                <w:sz w:val="20"/>
                <w:szCs w:val="20"/>
              </w:rPr>
            </w:pPr>
            <w:r>
              <w:rPr>
                <w:sz w:val="20"/>
                <w:szCs w:val="20"/>
              </w:rPr>
              <w:t>Határozatlan idejű szolgáltatási szerződés – a szerződés megszűnéséig.</w:t>
            </w:r>
          </w:p>
        </w:tc>
      </w:tr>
    </w:tbl>
    <w:p w:rsidR="00EA21C1" w:rsidRDefault="00EA21C1">
      <w:pPr>
        <w:rPr>
          <w:b/>
          <w:highlight w:val="yellow"/>
        </w:rPr>
      </w:pPr>
    </w:p>
    <w:p w:rsidR="003745AA" w:rsidRPr="003745AA" w:rsidRDefault="003745AA" w:rsidP="003745AA">
      <w:pPr>
        <w:numPr>
          <w:ilvl w:val="0"/>
          <w:numId w:val="2"/>
        </w:numPr>
        <w:pBdr>
          <w:top w:val="nil"/>
          <w:left w:val="nil"/>
          <w:bottom w:val="nil"/>
          <w:right w:val="nil"/>
          <w:between w:val="nil"/>
        </w:pBdr>
        <w:contextualSpacing/>
        <w:rPr>
          <w:b/>
          <w:color w:val="000000"/>
        </w:rPr>
      </w:pPr>
      <w:r>
        <w:rPr>
          <w:b/>
          <w:color w:val="000000"/>
        </w:rPr>
        <w:t>Sütik</w:t>
      </w:r>
    </w:p>
    <w:p w:rsidR="00EA21C1" w:rsidRDefault="003745AA" w:rsidP="003745AA">
      <w:pPr>
        <w:jc w:val="both"/>
      </w:pPr>
      <w:r>
        <w:t>A weboldal sütiket (cookie) használ, a felhasználói élmény maximálásának érdekében. A süti, vagy eredeti angol megnevezéssel cookie-t egy kis file, amely akkor kerül a látogató számítógépére, amikor az egy webhelyet keres fel. Abban az esetben, ha ismét felkeresi az adott webhelyet, a cookie-nak köszönhetően a webhely képes felismerni a látogató böngészőjét és az ismételt látogatást. A cookie-k tárolhatnak felhasználói beállításokat (pl. választott nyelv) és egyéb információkat is és információt gyűjtenek a látogatóról és eszközéről, megjegyzik a látogató egyéni beállításait. A sütik általánosságban megkönnyítik a weboldal használatát a felhasználó számára, és a weboldal üzemeltetői számára is biztosítják a szolgáltatások zavartalan működését, illetve annak ellenőrzését.</w:t>
      </w:r>
    </w:p>
    <w:p w:rsidR="00EA21C1" w:rsidRPr="003745AA" w:rsidRDefault="003745AA" w:rsidP="003745AA">
      <w:pPr>
        <w:jc w:val="both"/>
        <w:rPr>
          <w:i/>
        </w:rPr>
      </w:pPr>
      <w:r w:rsidRPr="003745AA">
        <w:rPr>
          <w:i/>
        </w:rPr>
        <w:t>Statisztikát biztosító sütik</w:t>
      </w:r>
    </w:p>
    <w:p w:rsidR="00EA21C1" w:rsidRDefault="003745AA" w:rsidP="003745AA">
      <w:pPr>
        <w:jc w:val="both"/>
      </w:pPr>
      <w:r>
        <w:t>A menedek.hu oldalakon a Google Analytics sütiket használunk, melynek segítségével információt gyűjthetünk arról, hogy miként használják látogatók weboldalunkat. Ezek a sütik nem tudják a felhasználókat személy szerint beazonosítani (az éppen használt IP címet is csak részben rögzítik), inkább olyan információkat gyűjtenek, mint pl. hogy melyik oldalt mennyi látogató nézte, a felhasználó a weboldal mely részére kattintott, hány oldalt keresett fel, milyen hosszú volt az egyes munkamenetek ideje, melyek voltak az esetleges hibaüzenetek. Ezek a weboldal fejlesztésének, valamint a felhasználók számára biztosított élmények javítását szolgálják.</w:t>
      </w:r>
    </w:p>
    <w:p w:rsidR="00EA21C1" w:rsidRDefault="003745AA">
      <w:r>
        <w:t xml:space="preserve">A Google Analytics sütikkel kapcsolatos további tudnivalókért, </w:t>
      </w:r>
      <w:hyperlink r:id="rId9">
        <w:r>
          <w:rPr>
            <w:color w:val="1155CC"/>
            <w:u w:val="single"/>
          </w:rPr>
          <w:t>kattintson ide</w:t>
        </w:r>
      </w:hyperlink>
      <w:r>
        <w:t>.</w:t>
      </w:r>
    </w:p>
    <w:p w:rsidR="00EA21C1" w:rsidRDefault="003745AA">
      <w:pPr>
        <w:rPr>
          <w:color w:val="1155CC"/>
          <w:u w:val="single"/>
        </w:rPr>
      </w:pPr>
      <w:r>
        <w:t xml:space="preserve">A Google Analytics sütik kikapcsolása: </w:t>
      </w:r>
      <w:r w:rsidR="009C1352">
        <w:fldChar w:fldCharType="begin"/>
      </w:r>
      <w:r>
        <w:instrText xml:space="preserve"> HYPERLINK "https://tools.google.com/dlpage/gaoptout" </w:instrText>
      </w:r>
      <w:r w:rsidR="009C1352">
        <w:fldChar w:fldCharType="separate"/>
      </w:r>
      <w:r>
        <w:rPr>
          <w:color w:val="1155CC"/>
          <w:u w:val="single"/>
        </w:rPr>
        <w:t>https://tools.google.com/dlpage/gaoptout</w:t>
      </w:r>
    </w:p>
    <w:p w:rsidR="00EA21C1" w:rsidRDefault="00EA21C1">
      <w:pPr>
        <w:rPr>
          <w:color w:val="1155CC"/>
          <w:u w:val="single"/>
        </w:rPr>
      </w:pPr>
    </w:p>
    <w:p w:rsidR="00EA21C1" w:rsidRPr="003745AA" w:rsidRDefault="009C1352">
      <w:pPr>
        <w:rPr>
          <w:i/>
        </w:rPr>
      </w:pPr>
      <w:r>
        <w:fldChar w:fldCharType="end"/>
      </w:r>
      <w:r w:rsidR="003745AA" w:rsidRPr="003745AA">
        <w:rPr>
          <w:i/>
        </w:rPr>
        <w:t>Sü</w:t>
      </w:r>
      <w:r w:rsidR="003745AA">
        <w:rPr>
          <w:i/>
        </w:rPr>
        <w:t>tik ellenőrzése és kikapcsolása</w:t>
      </w:r>
    </w:p>
    <w:p w:rsidR="00EA21C1" w:rsidRDefault="003745AA" w:rsidP="003745AA">
      <w:pPr>
        <w:jc w:val="both"/>
      </w:pPr>
      <w:r>
        <w:t>A sütik beállítása megváltoztatható. A legtöbb böngésző alapértelmezettként automatikusan elfogadja a sütiket, de ezek általában megváltoztathatóak, hogy megakadályozza az automatikus elfogadást és minden alkalommal felajánlja a választás lehetőségét, a sütik engedélyezésére.</w:t>
      </w:r>
    </w:p>
    <w:p w:rsidR="00EA21C1" w:rsidRDefault="003745AA">
      <w:r>
        <w:lastRenderedPageBreak/>
        <w:t>A legnépszerűbb böngészők süti beállításairól az alábbi linkeken tájékozódhat:</w:t>
      </w:r>
    </w:p>
    <w:p w:rsidR="00EA21C1" w:rsidRDefault="009C1352">
      <w:pPr>
        <w:numPr>
          <w:ilvl w:val="0"/>
          <w:numId w:val="1"/>
        </w:numPr>
        <w:contextualSpacing/>
      </w:pPr>
      <w:r>
        <w:fldChar w:fldCharType="begin"/>
      </w:r>
      <w:r w:rsidR="003745AA">
        <w:instrText xml:space="preserve"> HYPERLINK "https://support.google.com/accounts/answer/61416?hl=hu" </w:instrText>
      </w:r>
      <w:r>
        <w:fldChar w:fldCharType="separate"/>
      </w:r>
      <w:r w:rsidR="003745AA">
        <w:rPr>
          <w:color w:val="1155CC"/>
          <w:u w:val="single"/>
        </w:rPr>
        <w:t>Google Chrome</w:t>
      </w:r>
    </w:p>
    <w:p w:rsidR="00EA21C1" w:rsidRDefault="009C1352">
      <w:pPr>
        <w:numPr>
          <w:ilvl w:val="0"/>
          <w:numId w:val="1"/>
        </w:numPr>
        <w:contextualSpacing/>
      </w:pPr>
      <w:r>
        <w:fldChar w:fldCharType="end"/>
      </w:r>
      <w:r>
        <w:fldChar w:fldCharType="begin"/>
      </w:r>
      <w:r w:rsidR="003745AA">
        <w:instrText xml:space="preserve"> HYPERLINK "https://support.mozilla.org/hu/kb/S%C3%BCtik%20kezel%C3%A9se" </w:instrText>
      </w:r>
      <w:r>
        <w:fldChar w:fldCharType="separate"/>
      </w:r>
      <w:r w:rsidR="003745AA">
        <w:rPr>
          <w:color w:val="1155CC"/>
          <w:u w:val="single"/>
        </w:rPr>
        <w:t>Firefox</w:t>
      </w:r>
    </w:p>
    <w:p w:rsidR="00EA21C1" w:rsidRDefault="009C1352">
      <w:pPr>
        <w:numPr>
          <w:ilvl w:val="0"/>
          <w:numId w:val="1"/>
        </w:numPr>
        <w:contextualSpacing/>
      </w:pPr>
      <w:r>
        <w:fldChar w:fldCharType="end"/>
      </w:r>
      <w:r>
        <w:fldChar w:fldCharType="begin"/>
      </w:r>
      <w:r w:rsidR="003745AA">
        <w:instrText xml:space="preserve"> HYPERLINK "http://windows.microsoft.com/hu-hu/internet-explorer/delete-manage-cookies#ie=ie-11" </w:instrText>
      </w:r>
      <w:r>
        <w:fldChar w:fldCharType="separate"/>
      </w:r>
      <w:r w:rsidR="003745AA">
        <w:rPr>
          <w:color w:val="1155CC"/>
          <w:u w:val="single"/>
        </w:rPr>
        <w:t>Internet Explorer 11</w:t>
      </w:r>
    </w:p>
    <w:p w:rsidR="00EA21C1" w:rsidRDefault="009C1352">
      <w:pPr>
        <w:numPr>
          <w:ilvl w:val="0"/>
          <w:numId w:val="1"/>
        </w:numPr>
        <w:contextualSpacing/>
      </w:pPr>
      <w:r>
        <w:fldChar w:fldCharType="end"/>
      </w:r>
      <w:r>
        <w:fldChar w:fldCharType="begin"/>
      </w:r>
      <w:r w:rsidR="003745AA">
        <w:instrText xml:space="preserve"> HYPERLINK "http://windows.microsoft.com/hu-hu/internet-explorer/delete-manage-cookies#ie=ie-10" </w:instrText>
      </w:r>
      <w:r>
        <w:fldChar w:fldCharType="separate"/>
      </w:r>
      <w:r w:rsidR="003745AA">
        <w:rPr>
          <w:color w:val="1155CC"/>
          <w:u w:val="single"/>
        </w:rPr>
        <w:t>Internet Explorer 10</w:t>
      </w:r>
    </w:p>
    <w:p w:rsidR="00EA21C1" w:rsidRDefault="009C1352">
      <w:pPr>
        <w:numPr>
          <w:ilvl w:val="0"/>
          <w:numId w:val="1"/>
        </w:numPr>
        <w:contextualSpacing/>
      </w:pPr>
      <w:r>
        <w:fldChar w:fldCharType="end"/>
      </w:r>
      <w:r>
        <w:fldChar w:fldCharType="begin"/>
      </w:r>
      <w:r w:rsidR="003745AA">
        <w:instrText xml:space="preserve"> HYPERLINK "http://support.apple.com/kb/index?page=search&amp;q=cookies%20safari" </w:instrText>
      </w:r>
      <w:r>
        <w:fldChar w:fldCharType="separate"/>
      </w:r>
      <w:r w:rsidR="003745AA">
        <w:rPr>
          <w:color w:val="1155CC"/>
          <w:u w:val="single"/>
        </w:rPr>
        <w:t>Safari</w:t>
      </w:r>
    </w:p>
    <w:p w:rsidR="00EA21C1" w:rsidRDefault="009C1352">
      <w:r>
        <w:fldChar w:fldCharType="end"/>
      </w:r>
      <w:r w:rsidR="003745AA">
        <w:t>Az egyes böngészőkbe kiegészítőket is letölthet, ami az oldalon futó cookie kikapcsolását lehetővé teszi.</w:t>
      </w:r>
    </w:p>
    <w:p w:rsidR="00EA21C1" w:rsidRDefault="003745AA">
      <w:pPr>
        <w:numPr>
          <w:ilvl w:val="0"/>
          <w:numId w:val="2"/>
        </w:numPr>
        <w:pBdr>
          <w:top w:val="nil"/>
          <w:left w:val="nil"/>
          <w:bottom w:val="nil"/>
          <w:right w:val="nil"/>
          <w:between w:val="nil"/>
        </w:pBdr>
        <w:contextualSpacing/>
        <w:rPr>
          <w:b/>
          <w:color w:val="000000"/>
        </w:rPr>
      </w:pPr>
      <w:r>
        <w:rPr>
          <w:b/>
          <w:color w:val="000000"/>
        </w:rPr>
        <w:t>Hírlevélről való leiratkozás</w:t>
      </w:r>
    </w:p>
    <w:p w:rsidR="00EA21C1" w:rsidRDefault="003745AA">
      <w:r>
        <w:t xml:space="preserve">A Hírlevélről az érintett bármikor leiratkozhat a </w:t>
      </w:r>
      <w:hyperlink r:id="rId10">
        <w:r>
          <w:rPr>
            <w:color w:val="0563C1"/>
            <w:u w:val="single"/>
          </w:rPr>
          <w:t>menedek@menedek.hu</w:t>
        </w:r>
      </w:hyperlink>
      <w:r>
        <w:t xml:space="preserve"> címre írt ilyen tartalmú e-maillel. </w:t>
      </w:r>
    </w:p>
    <w:p w:rsidR="00EA21C1" w:rsidRDefault="003745AA">
      <w:pPr>
        <w:numPr>
          <w:ilvl w:val="0"/>
          <w:numId w:val="2"/>
        </w:numPr>
        <w:pBdr>
          <w:top w:val="nil"/>
          <w:left w:val="nil"/>
          <w:bottom w:val="nil"/>
          <w:right w:val="nil"/>
          <w:between w:val="nil"/>
        </w:pBdr>
        <w:contextualSpacing/>
        <w:rPr>
          <w:b/>
          <w:color w:val="000000"/>
        </w:rPr>
      </w:pPr>
      <w:r>
        <w:rPr>
          <w:b/>
          <w:color w:val="000000"/>
        </w:rPr>
        <w:t>Az Ügyfelek adatkezeléssel kapcsolatos jogai</w:t>
      </w:r>
    </w:p>
    <w:p w:rsidR="00EA21C1" w:rsidRDefault="003745AA">
      <w:pPr>
        <w:jc w:val="both"/>
      </w:pPr>
      <w:bookmarkStart w:id="0" w:name="_gjdgxs" w:colFirst="0" w:colLast="0"/>
      <w:bookmarkEnd w:id="0"/>
      <w:r>
        <w:t xml:space="preserve">Az Ügyfél jogosult az Egyesület által kezelt adataihoz hozzáférni, azokról tájékoztatást kérni, kérheti személyes adatainak helyesbítését, törlését, valamint az adatkezelés korlátozását. Az Ügyfelet megilleti az adathordozáshoz való jog. </w:t>
      </w:r>
    </w:p>
    <w:p w:rsidR="00EA21C1" w:rsidRDefault="003745AA">
      <w:pPr>
        <w:jc w:val="both"/>
      </w:pPr>
      <w:r>
        <w:t xml:space="preserve">Az Ügyfél ezen jogaival az Egyesület fent jelzett elérhetőségeinek bármelyikén keresztül élhet. Az Egyesület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Egyesület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 </w:t>
      </w:r>
    </w:p>
    <w:p w:rsidR="00EA21C1" w:rsidRDefault="003745AA">
      <w:pPr>
        <w:jc w:val="both"/>
      </w:pPr>
      <w:r>
        <w:t xml:space="preserve">Ha az Egyesület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w:t>
      </w:r>
    </w:p>
    <w:p w:rsidR="00EA21C1" w:rsidRDefault="003745AA">
      <w:pPr>
        <w:jc w:val="both"/>
      </w:pPr>
      <w:r>
        <w:t>Az Egyesület a kért információkat és tájékoztatást díjmentesen biztosítja. Ha az érintett kérelme egyértelműen megalapozatlan vagy – különösen ismétlődő jellege miatt – túlzó, az Egyesület, figyelemmel a kért információ vagy tájékoztatás nyújtásával vagy a kért intézkedés meghozatalával járó adminisztratív költségekre észszerű díjat számolhat fel, vagy megtagadhatja a kérelem alapján történő intézkedést. Az Egyesület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rsidR="00EA21C1" w:rsidRDefault="003745AA">
      <w:pPr>
        <w:jc w:val="both"/>
      </w:pPr>
      <w:r>
        <w:t>Az Ügyfél adatkezeléssel kapcsolatos panasza esetén hatósághoz fordulhat. Az Ügyfél jogsértés esetén kártérítést illetve sérelemdíjat követelhet.</w:t>
      </w:r>
    </w:p>
    <w:p w:rsidR="00EA21C1" w:rsidRDefault="003745AA">
      <w:pPr>
        <w:jc w:val="both"/>
        <w:rPr>
          <w:b/>
        </w:rPr>
      </w:pPr>
      <w:r>
        <w:rPr>
          <w:b/>
        </w:rPr>
        <w:t>Budapest, 2018. június 15</w:t>
      </w:r>
      <w:bookmarkStart w:id="1" w:name="_GoBack"/>
      <w:bookmarkEnd w:id="1"/>
      <w:r>
        <w:rPr>
          <w:b/>
        </w:rPr>
        <w:t>.</w:t>
      </w:r>
    </w:p>
    <w:sectPr w:rsidR="00EA21C1" w:rsidSect="009C135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02" w:rsidRDefault="00E31C02">
      <w:pPr>
        <w:spacing w:after="0" w:line="240" w:lineRule="auto"/>
      </w:pPr>
      <w:r>
        <w:separator/>
      </w:r>
    </w:p>
  </w:endnote>
  <w:endnote w:type="continuationSeparator" w:id="0">
    <w:p w:rsidR="00E31C02" w:rsidRDefault="00E31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02" w:rsidRDefault="00E31C02">
      <w:pPr>
        <w:spacing w:after="0" w:line="240" w:lineRule="auto"/>
      </w:pPr>
      <w:r>
        <w:separator/>
      </w:r>
    </w:p>
  </w:footnote>
  <w:footnote w:type="continuationSeparator" w:id="0">
    <w:p w:rsidR="00E31C02" w:rsidRDefault="00E31C02">
      <w:pPr>
        <w:spacing w:after="0" w:line="240" w:lineRule="auto"/>
      </w:pPr>
      <w:r>
        <w:continuationSeparator/>
      </w:r>
    </w:p>
  </w:footnote>
  <w:footnote w:id="1">
    <w:p w:rsidR="00EA21C1" w:rsidRDefault="003745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 természetes személyeknek a személyes adatok kezelése tekintetében történő védelméről és az ilyen adatok szabad áramlásáról, valamint a 95/46/EK rendelet hatályon kívül helyezéséről szóló 2016/679 EU Rendelet.</w:t>
      </w:r>
    </w:p>
  </w:footnote>
  <w:footnote w:id="2">
    <w:p w:rsidR="00EA21C1" w:rsidRDefault="003745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 természetes személyeknek a személyes adatok kezelése tekintetében történő védelméről és az ilyen adatok szabad áramlásáról, valamint a 95/46/EK rendelet hatályon kívül helyezéséről szóló 2016/679 EU Rendelet.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181B"/>
    <w:multiLevelType w:val="multilevel"/>
    <w:tmpl w:val="F4B09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146DAE"/>
    <w:multiLevelType w:val="multilevel"/>
    <w:tmpl w:val="DC46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2C4418"/>
    <w:multiLevelType w:val="multilevel"/>
    <w:tmpl w:val="F8AA5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A21C1"/>
    <w:rsid w:val="003745AA"/>
    <w:rsid w:val="009C1352"/>
    <w:rsid w:val="00E31C02"/>
    <w:rsid w:val="00EA21C1"/>
    <w:rsid w:val="00FE07EC"/>
  </w:rsids>
  <m:mathPr>
    <m:mathFont m:val="Cambria Math"/>
    <m:brkBin m:val="before"/>
    <m:brkBinSub m:val="--"/>
    <m:smallFrac m:val="off"/>
    <m:dispDef/>
    <m:lMargin m:val="0"/>
    <m:rMargin m:val="0"/>
    <m:defJc m:val="centerGroup"/>
    <m:wrapIndent m:val="1440"/>
    <m:intLim m:val="subSup"/>
    <m:naryLim m:val="undOvr"/>
  </m:mathPr>
  <w:themeFontLang w:val="hu-HU"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C1352"/>
  </w:style>
  <w:style w:type="paragraph" w:styleId="Cmsor1">
    <w:name w:val="heading 1"/>
    <w:basedOn w:val="Norml"/>
    <w:next w:val="Norml"/>
    <w:rsid w:val="009C1352"/>
    <w:pPr>
      <w:keepNext/>
      <w:keepLines/>
      <w:spacing w:before="480" w:after="120"/>
      <w:outlineLvl w:val="0"/>
    </w:pPr>
    <w:rPr>
      <w:b/>
      <w:sz w:val="48"/>
      <w:szCs w:val="48"/>
    </w:rPr>
  </w:style>
  <w:style w:type="paragraph" w:styleId="Cmsor2">
    <w:name w:val="heading 2"/>
    <w:basedOn w:val="Norml"/>
    <w:next w:val="Norml"/>
    <w:rsid w:val="009C1352"/>
    <w:pPr>
      <w:keepNext/>
      <w:keepLines/>
      <w:spacing w:before="360" w:after="80"/>
      <w:outlineLvl w:val="1"/>
    </w:pPr>
    <w:rPr>
      <w:b/>
      <w:sz w:val="36"/>
      <w:szCs w:val="36"/>
    </w:rPr>
  </w:style>
  <w:style w:type="paragraph" w:styleId="Cmsor3">
    <w:name w:val="heading 3"/>
    <w:basedOn w:val="Norml"/>
    <w:next w:val="Norml"/>
    <w:rsid w:val="009C1352"/>
    <w:pPr>
      <w:keepNext/>
      <w:keepLines/>
      <w:spacing w:before="280" w:after="80"/>
      <w:outlineLvl w:val="2"/>
    </w:pPr>
    <w:rPr>
      <w:b/>
      <w:sz w:val="28"/>
      <w:szCs w:val="28"/>
    </w:rPr>
  </w:style>
  <w:style w:type="paragraph" w:styleId="Cmsor4">
    <w:name w:val="heading 4"/>
    <w:basedOn w:val="Norml"/>
    <w:next w:val="Norml"/>
    <w:rsid w:val="009C1352"/>
    <w:pPr>
      <w:keepNext/>
      <w:keepLines/>
      <w:spacing w:before="240" w:after="40"/>
      <w:outlineLvl w:val="3"/>
    </w:pPr>
    <w:rPr>
      <w:b/>
      <w:sz w:val="24"/>
      <w:szCs w:val="24"/>
    </w:rPr>
  </w:style>
  <w:style w:type="paragraph" w:styleId="Cmsor5">
    <w:name w:val="heading 5"/>
    <w:basedOn w:val="Norml"/>
    <w:next w:val="Norml"/>
    <w:rsid w:val="009C1352"/>
    <w:pPr>
      <w:keepNext/>
      <w:keepLines/>
      <w:spacing w:before="220" w:after="40"/>
      <w:outlineLvl w:val="4"/>
    </w:pPr>
    <w:rPr>
      <w:b/>
    </w:rPr>
  </w:style>
  <w:style w:type="paragraph" w:styleId="Cmsor6">
    <w:name w:val="heading 6"/>
    <w:basedOn w:val="Norml"/>
    <w:next w:val="Norml"/>
    <w:rsid w:val="009C1352"/>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9C1352"/>
    <w:tblPr>
      <w:tblCellMar>
        <w:top w:w="0" w:type="dxa"/>
        <w:left w:w="0" w:type="dxa"/>
        <w:bottom w:w="0" w:type="dxa"/>
        <w:right w:w="0" w:type="dxa"/>
      </w:tblCellMar>
    </w:tblPr>
  </w:style>
  <w:style w:type="paragraph" w:styleId="Cm">
    <w:name w:val="Title"/>
    <w:basedOn w:val="Norml"/>
    <w:next w:val="Norml"/>
    <w:rsid w:val="009C1352"/>
    <w:pPr>
      <w:keepNext/>
      <w:keepLines/>
      <w:spacing w:before="480" w:after="120"/>
    </w:pPr>
    <w:rPr>
      <w:b/>
      <w:sz w:val="72"/>
      <w:szCs w:val="72"/>
    </w:rPr>
  </w:style>
  <w:style w:type="paragraph" w:styleId="Alcm">
    <w:name w:val="Subtitle"/>
    <w:basedOn w:val="Norml"/>
    <w:next w:val="Norml"/>
    <w:rsid w:val="009C1352"/>
    <w:pPr>
      <w:keepNext/>
      <w:keepLines/>
      <w:spacing w:before="360" w:after="80"/>
    </w:pPr>
    <w:rPr>
      <w:rFonts w:ascii="Georgia" w:eastAsia="Georgia" w:hAnsi="Georgia" w:cs="Georgia"/>
      <w:i/>
      <w:color w:val="666666"/>
      <w:sz w:val="48"/>
      <w:szCs w:val="48"/>
    </w:rPr>
  </w:style>
  <w:style w:type="table" w:customStyle="1" w:styleId="a">
    <w:basedOn w:val="TableNormal"/>
    <w:rsid w:val="009C135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9C135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nedek.hu/adatkezeles" TargetMode="External"/><Relationship Id="rId3" Type="http://schemas.openxmlformats.org/officeDocument/2006/relationships/settings" Target="settings.xml"/><Relationship Id="rId7" Type="http://schemas.openxmlformats.org/officeDocument/2006/relationships/hyperlink" Target="mailto:menedek@menedek.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nedek@menedek.hu" TargetMode="External"/><Relationship Id="rId4" Type="http://schemas.openxmlformats.org/officeDocument/2006/relationships/webSettings" Target="webSettings.xml"/><Relationship Id="rId9" Type="http://schemas.openxmlformats.org/officeDocument/2006/relationships/hyperlink" Target="https://developers.google.com/analytics/devguides/collection/analyticsjs/cookie-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6950</Characters>
  <Application>Microsoft Office Word</Application>
  <DocSecurity>0</DocSecurity>
  <Lines>57</Lines>
  <Paragraphs>15</Paragraphs>
  <ScaleCrop>false</ScaleCrop>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dc:creator>
  <cp:lastModifiedBy>Kriszti</cp:lastModifiedBy>
  <cp:revision>2</cp:revision>
  <dcterms:created xsi:type="dcterms:W3CDTF">2018-06-21T06:32:00Z</dcterms:created>
  <dcterms:modified xsi:type="dcterms:W3CDTF">2018-06-21T06:32:00Z</dcterms:modified>
</cp:coreProperties>
</file>